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ADD5" w14:textId="77777777" w:rsidR="005F4215" w:rsidRDefault="00457FFE">
      <w:pPr>
        <w:pStyle w:val="ListParagraph"/>
        <w:numPr>
          <w:ilvl w:val="0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Objectifs de la campagne CPS</w:t>
      </w:r>
      <w:r>
        <w:rPr>
          <w:rFonts w:eastAsia="Calibri"/>
          <w:noProof/>
          <w:lang w:val="fr-FR"/>
        </w:rPr>
        <w:tab/>
      </w:r>
    </w:p>
    <w:p w14:paraId="354677B5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Macroplanification et microplanification</w:t>
      </w:r>
      <w:r>
        <w:rPr>
          <w:rFonts w:eastAsia="Calibri"/>
          <w:noProof/>
          <w:color w:val="FF0000"/>
          <w:lang w:val="fr-FR"/>
        </w:rPr>
        <w:tab/>
      </w:r>
    </w:p>
    <w:p w14:paraId="6B6B1E7D" w14:textId="77777777" w:rsidR="005F4215" w:rsidRDefault="00457FFE">
      <w:pPr>
        <w:pStyle w:val="ListParagraph"/>
        <w:numPr>
          <w:ilvl w:val="1"/>
          <w:numId w:val="4"/>
        </w:numPr>
        <w:spacing w:line="240" w:lineRule="auto"/>
        <w:rPr>
          <w:noProof/>
          <w:lang w:val="fr-FR"/>
        </w:rPr>
      </w:pPr>
      <w:r>
        <w:rPr>
          <w:rFonts w:eastAsia="Calibri"/>
          <w:noProof/>
          <w:lang w:val="fr-FR"/>
        </w:rPr>
        <w:t xml:space="preserve">Paramètres de planification : personnel nécessaire (par cadre), jours nécessaires à chaque activité (formation, livraison, supervision et évaluation du suivi), </w:t>
      </w:r>
      <w:r>
        <w:rPr>
          <w:rFonts w:eastAsia="Calibri"/>
          <w:noProof/>
          <w:lang w:val="fr-FR"/>
        </w:rPr>
        <w:t>nombre d’événements pour chaque activité, etc.</w:t>
      </w:r>
    </w:p>
    <w:p w14:paraId="077D830C" w14:textId="77777777" w:rsidR="005F4215" w:rsidRDefault="00457FFE">
      <w:pPr>
        <w:pStyle w:val="ListParagraph"/>
        <w:numPr>
          <w:ilvl w:val="1"/>
          <w:numId w:val="4"/>
        </w:numPr>
        <w:spacing w:before="240"/>
        <w:ind w:left="788" w:hanging="431"/>
        <w:rPr>
          <w:noProof/>
        </w:rPr>
      </w:pPr>
      <w:r>
        <w:rPr>
          <w:rFonts w:eastAsia="Calibri"/>
          <w:noProof/>
          <w:lang w:val="fr-FR"/>
        </w:rPr>
        <w:t>Zones d’intervention</w:t>
      </w:r>
      <w:r>
        <w:rPr>
          <w:rFonts w:eastAsia="Calibri"/>
          <w:noProof/>
          <w:lang w:val="fr-FR"/>
        </w:rPr>
        <w:tab/>
      </w:r>
    </w:p>
    <w:p w14:paraId="75190A8B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Carte des districts de santé sélectionnés</w:t>
      </w:r>
      <w:r>
        <w:rPr>
          <w:rFonts w:eastAsia="Calibri"/>
          <w:noProof/>
          <w:lang w:val="fr-FR"/>
        </w:rPr>
        <w:tab/>
      </w:r>
    </w:p>
    <w:p w14:paraId="5CB6769F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 xml:space="preserve">Cartographie des locaux </w:t>
      </w:r>
    </w:p>
    <w:p w14:paraId="5EF1A2FA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Critères d’inclusion</w:t>
      </w:r>
      <w:r>
        <w:rPr>
          <w:rFonts w:eastAsia="Calibri"/>
          <w:noProof/>
          <w:lang w:val="fr-FR"/>
        </w:rPr>
        <w:tab/>
      </w:r>
    </w:p>
    <w:p w14:paraId="77063C44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Activités préparatoires</w:t>
      </w:r>
      <w:r>
        <w:rPr>
          <w:rFonts w:eastAsia="Calibri"/>
          <w:noProof/>
          <w:color w:val="FF0000"/>
          <w:lang w:val="fr-FR"/>
        </w:rPr>
        <w:tab/>
      </w:r>
    </w:p>
    <w:p w14:paraId="4542E8AD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Réunion préparatoire</w:t>
      </w:r>
      <w:r>
        <w:rPr>
          <w:rFonts w:eastAsia="Calibri"/>
          <w:noProof/>
          <w:lang w:val="fr-FR"/>
        </w:rPr>
        <w:tab/>
      </w:r>
    </w:p>
    <w:p w14:paraId="32E504F2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Collaboration et partenariat</w:t>
      </w:r>
    </w:p>
    <w:p w14:paraId="16FB986D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Réunion de planificat</w:t>
      </w:r>
      <w:r>
        <w:rPr>
          <w:rFonts w:eastAsia="Calibri"/>
          <w:noProof/>
          <w:lang w:val="fr-FR"/>
        </w:rPr>
        <w:t>ion et d’analyse des outils</w:t>
      </w:r>
    </w:p>
    <w:p w14:paraId="4D133F46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Identification et évaluation de l’entrepôt</w:t>
      </w:r>
      <w:r>
        <w:rPr>
          <w:rFonts w:eastAsia="Calibri"/>
          <w:noProof/>
          <w:lang w:val="fr-FR"/>
        </w:rPr>
        <w:tab/>
      </w:r>
    </w:p>
    <w:p w14:paraId="766F4AAD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Sélection des agents de mobilisation et de distribution</w:t>
      </w:r>
      <w:r>
        <w:rPr>
          <w:rFonts w:eastAsia="Calibri"/>
          <w:noProof/>
          <w:lang w:val="fr-FR"/>
        </w:rPr>
        <w:tab/>
      </w:r>
      <w:r>
        <w:rPr>
          <w:rFonts w:eastAsia="Calibri"/>
          <w:noProof/>
          <w:lang w:val="fr-FR"/>
        </w:rPr>
        <w:tab/>
      </w:r>
    </w:p>
    <w:p w14:paraId="2690BE6B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Approvisionnement et gestion de l’approvisionnement</w:t>
      </w:r>
    </w:p>
    <w:p w14:paraId="19E5D42F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Condition de stockage du SPAQ dans les CMS</w:t>
      </w:r>
      <w:r>
        <w:rPr>
          <w:rFonts w:eastAsia="Calibri"/>
          <w:noProof/>
          <w:lang w:val="fr-FR"/>
        </w:rPr>
        <w:tab/>
      </w:r>
    </w:p>
    <w:p w14:paraId="2109C33A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 xml:space="preserve">Gestion des stocks dans les </w:t>
      </w:r>
      <w:r>
        <w:rPr>
          <w:rFonts w:eastAsia="Calibri"/>
          <w:noProof/>
          <w:lang w:val="fr-FR"/>
        </w:rPr>
        <w:t>CMS et les établissements de santé</w:t>
      </w:r>
      <w:r>
        <w:rPr>
          <w:rFonts w:eastAsia="Calibri"/>
          <w:noProof/>
          <w:lang w:val="fr-FR"/>
        </w:rPr>
        <w:tab/>
      </w:r>
    </w:p>
    <w:p w14:paraId="0E934BBC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 xml:space="preserve">Acquisition et distribution de tous les outils et matériels CPS </w:t>
      </w:r>
    </w:p>
    <w:p w14:paraId="43CD1F9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Utilisation correcte des outils de gestion des stocks (POD, ICC, plans de distribution, etc.)</w:t>
      </w:r>
      <w:r>
        <w:rPr>
          <w:rFonts w:eastAsia="Calibri"/>
          <w:noProof/>
          <w:lang w:val="fr-FR"/>
        </w:rPr>
        <w:tab/>
      </w:r>
    </w:p>
    <w:p w14:paraId="2F42022E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Approvisionnement en SPAQ et délais</w:t>
      </w:r>
    </w:p>
    <w:p w14:paraId="125A7123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Distribution du SPAQ à t</w:t>
      </w:r>
      <w:r>
        <w:rPr>
          <w:rFonts w:eastAsia="Calibri"/>
          <w:noProof/>
          <w:lang w:val="fr-FR"/>
        </w:rPr>
        <w:t>ravers le pays</w:t>
      </w:r>
      <w:r>
        <w:rPr>
          <w:rFonts w:eastAsia="Calibri"/>
          <w:noProof/>
          <w:lang w:val="fr-FR"/>
        </w:rPr>
        <w:tab/>
      </w:r>
    </w:p>
    <w:p w14:paraId="32B2F7B3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Analyse des mouvements de stock</w:t>
      </w:r>
      <w:r>
        <w:rPr>
          <w:rFonts w:eastAsia="Calibri"/>
          <w:noProof/>
          <w:lang w:val="fr-FR"/>
        </w:rPr>
        <w:tab/>
      </w:r>
    </w:p>
    <w:p w14:paraId="16D55968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Répartition des médicaments à travers le plan de distribution par cycles</w:t>
      </w:r>
      <w:r>
        <w:rPr>
          <w:rFonts w:eastAsia="Calibri"/>
          <w:noProof/>
          <w:lang w:val="fr-FR"/>
        </w:rPr>
        <w:tab/>
      </w:r>
    </w:p>
    <w:p w14:paraId="11D3BA4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Méthodes de réconciliation du SPAQ (données administratives et données de réconciliation des stocks)</w:t>
      </w:r>
    </w:p>
    <w:p w14:paraId="029E2B4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Rapport logistique de fin de cyc</w:t>
      </w:r>
      <w:r>
        <w:rPr>
          <w:rFonts w:eastAsia="Calibri"/>
          <w:noProof/>
          <w:lang w:val="fr-FR"/>
        </w:rPr>
        <w:t>le</w:t>
      </w:r>
      <w:r>
        <w:rPr>
          <w:rFonts w:eastAsia="Calibri"/>
          <w:noProof/>
          <w:lang w:val="fr-FR"/>
        </w:rPr>
        <w:tab/>
      </w:r>
    </w:p>
    <w:p w14:paraId="08EF3BCE" w14:textId="77777777" w:rsidR="005F4215" w:rsidRDefault="00457FFE">
      <w:pPr>
        <w:pStyle w:val="ListParagraph"/>
        <w:numPr>
          <w:ilvl w:val="0"/>
          <w:numId w:val="4"/>
        </w:numPr>
        <w:rPr>
          <w:noProof/>
        </w:rPr>
      </w:pPr>
      <w:r>
        <w:rPr>
          <w:rFonts w:eastAsia="Calibri"/>
          <w:noProof/>
          <w:color w:val="FF0000"/>
          <w:lang w:val="fr-FR"/>
        </w:rPr>
        <w:t xml:space="preserve">Implication de la communauté </w:t>
      </w:r>
    </w:p>
    <w:p w14:paraId="5CD60EBA" w14:textId="77777777" w:rsidR="005F4215" w:rsidRDefault="00457FFE">
      <w:pPr>
        <w:pStyle w:val="ListParagraph"/>
        <w:numPr>
          <w:ilvl w:val="1"/>
          <w:numId w:val="4"/>
        </w:numPr>
        <w:ind w:right="90"/>
        <w:rPr>
          <w:noProof/>
          <w:lang w:val="fr-FR"/>
        </w:rPr>
      </w:pPr>
      <w:r>
        <w:rPr>
          <w:rFonts w:eastAsia="Calibri"/>
          <w:noProof/>
          <w:lang w:val="fr-FR"/>
        </w:rPr>
        <w:t>Implication des autorités locales vis-à-vis du programme, relativement à la campagne de CPS dans des districts sélectionnés</w:t>
      </w:r>
    </w:p>
    <w:p w14:paraId="1AFFCB95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Visites de sensibilisation</w:t>
      </w:r>
      <w:r>
        <w:rPr>
          <w:rFonts w:eastAsia="Calibri"/>
          <w:noProof/>
          <w:lang w:val="fr-FR"/>
        </w:rPr>
        <w:tab/>
      </w:r>
    </w:p>
    <w:p w14:paraId="6231CB66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Implication des médias</w:t>
      </w:r>
      <w:r>
        <w:rPr>
          <w:rFonts w:eastAsia="Calibri"/>
          <w:noProof/>
          <w:lang w:val="fr-FR"/>
        </w:rPr>
        <w:tab/>
      </w:r>
    </w:p>
    <w:p w14:paraId="2B54F1B5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Mobilisation communautaire et activités de pro</w:t>
      </w:r>
      <w:r>
        <w:rPr>
          <w:rFonts w:eastAsia="Calibri"/>
          <w:noProof/>
          <w:lang w:val="fr-FR"/>
        </w:rPr>
        <w:t>motion du CPS</w:t>
      </w:r>
      <w:r>
        <w:rPr>
          <w:rFonts w:eastAsia="Calibri"/>
          <w:noProof/>
          <w:lang w:val="fr-FR"/>
        </w:rPr>
        <w:tab/>
      </w:r>
    </w:p>
    <w:p w14:paraId="74C96493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lastRenderedPageBreak/>
        <w:t>Mobilisation des foyers</w:t>
      </w:r>
      <w:r>
        <w:rPr>
          <w:rFonts w:eastAsia="Calibri"/>
          <w:noProof/>
          <w:lang w:val="fr-FR"/>
        </w:rPr>
        <w:tab/>
      </w:r>
    </w:p>
    <w:p w14:paraId="6D24419A" w14:textId="77777777" w:rsidR="005F4215" w:rsidRDefault="00457FFE">
      <w:pPr>
        <w:pStyle w:val="ListParagraph"/>
        <w:numPr>
          <w:ilvl w:val="1"/>
          <w:numId w:val="4"/>
        </w:numPr>
        <w:spacing w:line="288" w:lineRule="auto"/>
        <w:rPr>
          <w:noProof/>
          <w:lang w:val="fr-FR"/>
        </w:rPr>
      </w:pPr>
      <w:r>
        <w:rPr>
          <w:rFonts w:eastAsia="Calibri"/>
          <w:noProof/>
          <w:lang w:val="fr-FR"/>
        </w:rPr>
        <w:t>Coup d’envoi de la campagne au niveau de l’État ou de la province</w:t>
      </w:r>
      <w:r>
        <w:rPr>
          <w:rFonts w:eastAsia="Calibri"/>
          <w:noProof/>
          <w:lang w:val="fr-FR"/>
        </w:rPr>
        <w:tab/>
      </w:r>
    </w:p>
    <w:p w14:paraId="22F5A7DC" w14:textId="77777777" w:rsidR="005F4215" w:rsidRDefault="005F4215">
      <w:pPr>
        <w:pStyle w:val="ListParagraph"/>
        <w:spacing w:line="288" w:lineRule="auto"/>
        <w:ind w:left="792"/>
        <w:rPr>
          <w:noProof/>
          <w:lang w:val="fr-FR"/>
        </w:rPr>
      </w:pPr>
    </w:p>
    <w:p w14:paraId="45356096" w14:textId="77777777" w:rsidR="005F4215" w:rsidRDefault="00457FFE">
      <w:pPr>
        <w:pStyle w:val="ListParagraph"/>
        <w:numPr>
          <w:ilvl w:val="0"/>
          <w:numId w:val="4"/>
        </w:numPr>
        <w:spacing w:line="288" w:lineRule="auto"/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 xml:space="preserve">Formation </w:t>
      </w:r>
    </w:p>
    <w:p w14:paraId="2BC74724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Formation des superviseurs au niveau central</w:t>
      </w:r>
    </w:p>
    <w:p w14:paraId="1700F218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Formation des superviseurs régionaux et des superviseurs de district de santé</w:t>
      </w:r>
    </w:p>
    <w:p w14:paraId="1A54372C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 xml:space="preserve">Formation </w:t>
      </w:r>
      <w:r>
        <w:rPr>
          <w:rFonts w:eastAsia="Calibri"/>
          <w:noProof/>
          <w:lang w:val="fr-FR"/>
        </w:rPr>
        <w:t>des superviseurs locaux</w:t>
      </w:r>
      <w:r>
        <w:rPr>
          <w:rFonts w:eastAsia="Calibri"/>
          <w:noProof/>
          <w:lang w:val="fr-FR"/>
        </w:rPr>
        <w:tab/>
      </w:r>
    </w:p>
    <w:p w14:paraId="2BD54C28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Formation des agents de mobilisation et de distribution</w:t>
      </w:r>
      <w:r>
        <w:rPr>
          <w:rFonts w:eastAsia="Calibri"/>
          <w:noProof/>
          <w:lang w:val="fr-FR"/>
        </w:rPr>
        <w:tab/>
      </w:r>
    </w:p>
    <w:p w14:paraId="30D764B6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Formation du personnel responsable de la saisie des données et des points focaux de pharmacovigilance</w:t>
      </w:r>
      <w:r>
        <w:rPr>
          <w:rFonts w:eastAsia="Calibri"/>
          <w:noProof/>
          <w:lang w:val="fr-FR"/>
        </w:rPr>
        <w:tab/>
      </w:r>
    </w:p>
    <w:p w14:paraId="523F6D36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Formation des crieurs communautaires</w:t>
      </w:r>
      <w:r>
        <w:rPr>
          <w:rFonts w:eastAsia="Calibri"/>
          <w:noProof/>
          <w:lang w:val="fr-FR"/>
        </w:rPr>
        <w:tab/>
      </w:r>
    </w:p>
    <w:p w14:paraId="664D9B50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 xml:space="preserve">Formation de remise à </w:t>
      </w:r>
      <w:r>
        <w:rPr>
          <w:rFonts w:eastAsia="Calibri"/>
          <w:noProof/>
          <w:lang w:val="fr-FR"/>
        </w:rPr>
        <w:t>niveau des agents de santé communautaires</w:t>
      </w:r>
      <w:r>
        <w:rPr>
          <w:rFonts w:eastAsia="Calibri"/>
          <w:noProof/>
          <w:color w:val="FF0000"/>
          <w:lang w:val="fr-FR"/>
        </w:rPr>
        <w:tab/>
      </w:r>
    </w:p>
    <w:p w14:paraId="4A4C3F14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Administration du SPAQ</w:t>
      </w:r>
    </w:p>
    <w:p w14:paraId="6A1CB522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Méthodologie de campagne de CPS</w:t>
      </w:r>
      <w:r>
        <w:rPr>
          <w:rFonts w:eastAsia="Calibri"/>
          <w:noProof/>
          <w:lang w:val="fr-FR"/>
        </w:rPr>
        <w:tab/>
      </w:r>
    </w:p>
    <w:p w14:paraId="6A5DD581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 xml:space="preserve">Adaptations de la méthodologie de livraison en raison de la COVID-19 </w:t>
      </w:r>
    </w:p>
    <w:p w14:paraId="2CD4B53E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Non-administration du SPAQ à des enfants éligibles</w:t>
      </w:r>
      <w:r>
        <w:rPr>
          <w:rFonts w:eastAsia="Calibri"/>
          <w:noProof/>
          <w:lang w:val="fr-FR"/>
        </w:rPr>
        <w:tab/>
      </w:r>
    </w:p>
    <w:p w14:paraId="7739DD44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  <w:lang w:val="fr-FR"/>
        </w:rPr>
      </w:pPr>
      <w:r>
        <w:rPr>
          <w:rFonts w:eastAsia="Calibri"/>
          <w:noProof/>
          <w:color w:val="FF0000"/>
          <w:lang w:val="fr-FR"/>
        </w:rPr>
        <w:t>Prise en charge des cas et pharmaco</w:t>
      </w:r>
      <w:r>
        <w:rPr>
          <w:rFonts w:eastAsia="Calibri"/>
          <w:noProof/>
          <w:color w:val="FF0000"/>
          <w:lang w:val="fr-FR"/>
        </w:rPr>
        <w:t>vigilance</w:t>
      </w:r>
    </w:p>
    <w:p w14:paraId="01EA806E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Prise en charge/orientation des enfants malades</w:t>
      </w:r>
    </w:p>
    <w:p w14:paraId="1C4D9FDB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Suivi de pharmacovigilance</w:t>
      </w:r>
      <w:r>
        <w:rPr>
          <w:rFonts w:eastAsia="Calibri"/>
          <w:noProof/>
          <w:lang w:val="fr-FR"/>
        </w:rPr>
        <w:tab/>
      </w:r>
    </w:p>
    <w:p w14:paraId="68FA4842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Supervision</w:t>
      </w:r>
    </w:p>
    <w:p w14:paraId="64B3098E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>Superviseurs de niveau central</w:t>
      </w:r>
    </w:p>
    <w:p w14:paraId="438276E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Superviseurs régionaux et de district de santé</w:t>
      </w:r>
    </w:p>
    <w:p w14:paraId="7F1898D0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Réunion de compte-rendu/de rapports des visites de supervision pendant les cycle</w:t>
      </w:r>
      <w:r>
        <w:rPr>
          <w:rFonts w:eastAsia="Calibri"/>
          <w:noProof/>
          <w:lang w:val="fr-FR"/>
        </w:rPr>
        <w:t>s de CPS</w:t>
      </w:r>
    </w:p>
    <w:p w14:paraId="6DAB7166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Suivi et évaluation</w:t>
      </w:r>
    </w:p>
    <w:p w14:paraId="652A506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Données administratives recueillies pendant les cycles 1 à 4 du CPS</w:t>
      </w:r>
      <w:r>
        <w:rPr>
          <w:rFonts w:eastAsia="Calibri"/>
          <w:noProof/>
          <w:lang w:val="fr-FR"/>
        </w:rPr>
        <w:tab/>
      </w:r>
    </w:p>
    <w:p w14:paraId="235BBDD0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r>
        <w:rPr>
          <w:rFonts w:eastAsia="Calibri"/>
          <w:noProof/>
          <w:lang w:val="fr-FR"/>
        </w:rPr>
        <w:t xml:space="preserve">Enquêtes de fin de cycle </w:t>
      </w:r>
    </w:p>
    <w:p w14:paraId="118D9D19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Enquête de fin de cycle à propos de la couverture</w:t>
      </w:r>
      <w:r>
        <w:rPr>
          <w:rFonts w:eastAsia="Calibri"/>
          <w:noProof/>
          <w:lang w:val="fr-FR"/>
        </w:rPr>
        <w:tab/>
      </w:r>
    </w:p>
    <w:p w14:paraId="00D074F8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r>
        <w:rPr>
          <w:rFonts w:eastAsia="Calibri"/>
          <w:noProof/>
          <w:lang w:val="fr-FR"/>
        </w:rPr>
        <w:t>Enquêtes autour des établissements de santé</w:t>
      </w:r>
      <w:r>
        <w:rPr>
          <w:rFonts w:eastAsia="Calibri"/>
          <w:noProof/>
          <w:lang w:val="fr-FR"/>
        </w:rPr>
        <w:tab/>
      </w:r>
    </w:p>
    <w:p w14:paraId="5823FA00" w14:textId="77777777" w:rsidR="005F4215" w:rsidRDefault="00457FFE">
      <w:pPr>
        <w:pStyle w:val="ListParagraph"/>
        <w:numPr>
          <w:ilvl w:val="1"/>
          <w:numId w:val="4"/>
        </w:numPr>
        <w:spacing w:line="240" w:lineRule="auto"/>
        <w:ind w:left="788" w:hanging="431"/>
        <w:rPr>
          <w:noProof/>
        </w:rPr>
      </w:pPr>
      <w:r>
        <w:rPr>
          <w:rFonts w:eastAsia="Calibri"/>
          <w:noProof/>
          <w:lang w:val="fr-FR"/>
        </w:rPr>
        <w:t xml:space="preserve">Enquêtes autour des ménages </w:t>
      </w:r>
    </w:p>
    <w:p w14:paraId="773ABCC5" w14:textId="77777777" w:rsidR="005F4215" w:rsidRDefault="00457FFE">
      <w:pPr>
        <w:spacing w:line="240" w:lineRule="auto"/>
        <w:ind w:left="360"/>
        <w:rPr>
          <w:noProof/>
          <w:lang w:val="fr-FR"/>
        </w:rPr>
      </w:pPr>
      <w:r>
        <w:rPr>
          <w:rFonts w:eastAsia="Calibri"/>
          <w:noProof/>
          <w:lang w:val="fr-FR"/>
        </w:rPr>
        <w:t>Pour ch</w:t>
      </w:r>
      <w:r>
        <w:rPr>
          <w:rFonts w:eastAsia="Calibri"/>
          <w:noProof/>
          <w:lang w:val="fr-FR"/>
        </w:rPr>
        <w:t>acun des éléments ci-dessus, fournir les éléments suivants : c</w:t>
      </w:r>
      <w:hyperlink w:anchor="_Toc58490237" w:history="1">
        <w:r>
          <w:rPr>
            <w:rFonts w:eastAsia="Calibri"/>
            <w:noProof/>
            <w:lang w:val="fr-FR"/>
          </w:rPr>
          <w:t xml:space="preserve">hoix des districts et des zones sanitaires pour les enquêtes, </w:t>
        </w:r>
      </w:hyperlink>
      <w:r>
        <w:rPr>
          <w:rFonts w:eastAsia="Calibri"/>
          <w:noProof/>
          <w:lang w:val="fr-FR"/>
        </w:rPr>
        <w:t>t</w:t>
      </w:r>
      <w:hyperlink w:anchor="_Toc58490238" w:history="1">
        <w:r>
          <w:rPr>
            <w:rFonts w:eastAsia="Calibri"/>
            <w:noProof/>
            <w:lang w:val="fr-FR"/>
          </w:rPr>
          <w:t>aille et exactitude des échantillons,</w:t>
        </w:r>
      </w:hyperlink>
      <w:r>
        <w:rPr>
          <w:rFonts w:eastAsia="Calibri"/>
          <w:noProof/>
          <w:lang w:val="fr-FR"/>
        </w:rPr>
        <w:t xml:space="preserve"> méthodes d’analyse des donnée</w:t>
      </w:r>
      <w:r>
        <w:rPr>
          <w:rFonts w:eastAsia="Calibri"/>
          <w:noProof/>
          <w:lang w:val="fr-FR"/>
        </w:rPr>
        <w:t xml:space="preserve">s (saisie des données, traitement et tabulation) </w:t>
      </w:r>
    </w:p>
    <w:p w14:paraId="2368D704" w14:textId="77777777" w:rsidR="005F4215" w:rsidRDefault="00457FFE">
      <w:pPr>
        <w:pStyle w:val="ListParagraph"/>
        <w:numPr>
          <w:ilvl w:val="1"/>
          <w:numId w:val="4"/>
        </w:numPr>
        <w:spacing w:line="240" w:lineRule="auto"/>
        <w:ind w:left="788" w:hanging="431"/>
        <w:rPr>
          <w:lang w:val="fr-FR"/>
        </w:rPr>
      </w:pPr>
      <w:hyperlink w:anchor="_Toc58490260" w:history="1">
        <w:r>
          <w:rPr>
            <w:rFonts w:eastAsia="Calibri"/>
            <w:lang w:val="fr-FR"/>
          </w:rPr>
          <w:t>Limitations des données administratives, des enquêtes et des méthodes</w:t>
        </w:r>
      </w:hyperlink>
      <w:r>
        <w:rPr>
          <w:rFonts w:eastAsia="Calibri"/>
          <w:lang w:val="fr-FR"/>
        </w:rPr>
        <w:t xml:space="preserve"> de l’étude</w:t>
      </w:r>
    </w:p>
    <w:p w14:paraId="080D7B44" w14:textId="77777777" w:rsidR="005F4215" w:rsidRDefault="005F4215">
      <w:pPr>
        <w:pStyle w:val="ListParagraph"/>
        <w:spacing w:line="240" w:lineRule="auto"/>
        <w:ind w:left="788"/>
        <w:rPr>
          <w:lang w:val="fr-FR"/>
        </w:rPr>
      </w:pPr>
    </w:p>
    <w:p w14:paraId="083E85C5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 xml:space="preserve">Résultats </w:t>
      </w:r>
    </w:p>
    <w:p w14:paraId="619E9488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45" w:history="1">
        <w:r>
          <w:rPr>
            <w:rFonts w:eastAsia="Calibri"/>
            <w:lang w:val="fr-FR"/>
          </w:rPr>
          <w:t xml:space="preserve">Performance du district sanitaire pendant </w:t>
        </w:r>
        <w:r>
          <w:rPr>
            <w:rFonts w:eastAsia="Calibri"/>
            <w:lang w:val="fr-FR"/>
          </w:rPr>
          <w:t>la campagne</w:t>
        </w:r>
        <w:r>
          <w:rPr>
            <w:rFonts w:eastAsia="Calibri"/>
            <w:lang w:val="fr-FR"/>
          </w:rPr>
          <w:tab/>
        </w:r>
      </w:hyperlink>
    </w:p>
    <w:p w14:paraId="1BB50791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46" w:history="1">
        <w:r>
          <w:rPr>
            <w:rFonts w:eastAsia="Calibri"/>
            <w:lang w:val="fr-FR"/>
          </w:rPr>
          <w:t>Caractéristiques des foyers et des enfants ciblés</w:t>
        </w:r>
        <w:r>
          <w:rPr>
            <w:rFonts w:eastAsia="Calibri"/>
            <w:lang w:val="fr-FR"/>
          </w:rPr>
          <w:tab/>
        </w:r>
      </w:hyperlink>
    </w:p>
    <w:p w14:paraId="0AEFF735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hyperlink w:anchor="_Toc58490247" w:history="1">
        <w:r>
          <w:rPr>
            <w:rFonts w:eastAsia="Calibri"/>
            <w:lang w:val="fr-FR"/>
          </w:rPr>
          <w:t>Caractéristiques des enfants ciblés</w:t>
        </w:r>
        <w:r>
          <w:rPr>
            <w:rFonts w:eastAsia="Calibri"/>
            <w:lang w:val="fr-FR"/>
          </w:rPr>
          <w:tab/>
        </w:r>
      </w:hyperlink>
    </w:p>
    <w:p w14:paraId="32EB6234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48" w:history="1">
        <w:r>
          <w:rPr>
            <w:rFonts w:eastAsia="Calibri"/>
            <w:lang w:val="fr-FR"/>
          </w:rPr>
          <w:t xml:space="preserve">Distribution du traitement aux enfants ciblés </w:t>
        </w:r>
        <w:r>
          <w:rPr>
            <w:rFonts w:eastAsia="Calibri"/>
            <w:lang w:val="fr-FR"/>
          </w:rPr>
          <w:t>pendant la campagne</w:t>
        </w:r>
      </w:hyperlink>
    </w:p>
    <w:p w14:paraId="0B233657" w14:textId="77777777" w:rsidR="005F4215" w:rsidRDefault="00457FFE">
      <w:pPr>
        <w:pStyle w:val="ListParagraph"/>
        <w:numPr>
          <w:ilvl w:val="1"/>
          <w:numId w:val="4"/>
        </w:numPr>
        <w:rPr>
          <w:noProof/>
        </w:rPr>
      </w:pPr>
      <w:hyperlink w:anchor="_Toc58490249" w:history="1">
        <w:r>
          <w:rPr>
            <w:rFonts w:eastAsia="Calibri"/>
            <w:lang w:val="fr-FR"/>
          </w:rPr>
          <w:t>Enfants traités</w:t>
        </w:r>
        <w:r>
          <w:rPr>
            <w:rFonts w:eastAsia="Calibri"/>
            <w:lang w:val="fr-FR"/>
          </w:rPr>
          <w:tab/>
        </w:r>
      </w:hyperlink>
    </w:p>
    <w:p w14:paraId="60E86C17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50" w:history="1">
        <w:r>
          <w:rPr>
            <w:rFonts w:eastAsia="Calibri"/>
            <w:lang w:val="fr-FR"/>
          </w:rPr>
          <w:t>Personne en charge de l’administration du traitement aux enfants traités</w:t>
        </w:r>
      </w:hyperlink>
    </w:p>
    <w:p w14:paraId="4F8788F1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51" w:history="1">
        <w:r>
          <w:rPr>
            <w:rFonts w:eastAsia="Calibri"/>
            <w:lang w:val="fr-FR"/>
          </w:rPr>
          <w:t>Raisons pour lesquelles les enfants n’ont pas reçu</w:t>
        </w:r>
        <w:r>
          <w:rPr>
            <w:rFonts w:eastAsia="Calibri"/>
            <w:lang w:val="fr-FR"/>
          </w:rPr>
          <w:t xml:space="preserve"> le traitement</w:t>
        </w:r>
        <w:r>
          <w:rPr>
            <w:rFonts w:eastAsia="Calibri"/>
            <w:lang w:val="fr-FR"/>
          </w:rPr>
          <w:tab/>
        </w:r>
      </w:hyperlink>
    </w:p>
    <w:p w14:paraId="1D9D768C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52" w:history="1">
        <w:r>
          <w:rPr>
            <w:rFonts w:eastAsia="Calibri"/>
            <w:lang w:val="fr-FR"/>
          </w:rPr>
          <w:t>Effets indésirables après le traitement des enfants</w:t>
        </w:r>
        <w:r>
          <w:rPr>
            <w:rFonts w:eastAsia="Calibri"/>
            <w:lang w:val="fr-FR"/>
          </w:rPr>
          <w:tab/>
        </w:r>
      </w:hyperlink>
    </w:p>
    <w:p w14:paraId="3CD9890A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53" w:history="1">
        <w:r>
          <w:rPr>
            <w:rFonts w:eastAsia="Calibri"/>
            <w:lang w:val="fr-FR"/>
          </w:rPr>
          <w:t>Difficultés à remplir les fiches CPS ou à administrer les médicaments aux enfants</w:t>
        </w:r>
      </w:hyperlink>
    </w:p>
    <w:p w14:paraId="006B169C" w14:textId="77777777" w:rsidR="005F4215" w:rsidRDefault="00457FFE">
      <w:pPr>
        <w:pStyle w:val="ListParagraph"/>
        <w:numPr>
          <w:ilvl w:val="1"/>
          <w:numId w:val="4"/>
        </w:numPr>
        <w:rPr>
          <w:noProof/>
          <w:lang w:val="fr-FR"/>
        </w:rPr>
      </w:pPr>
      <w:hyperlink w:anchor="_Toc58490254" w:history="1">
        <w:r>
          <w:rPr>
            <w:rFonts w:eastAsia="Calibri"/>
            <w:lang w:val="fr-FR"/>
          </w:rPr>
          <w:t>Connaissa</w:t>
        </w:r>
        <w:r>
          <w:rPr>
            <w:rFonts w:eastAsia="Calibri"/>
            <w:lang w:val="fr-FR"/>
          </w:rPr>
          <w:t>nces, sensibilisation et appréciation de la campagne</w:t>
        </w:r>
      </w:hyperlink>
    </w:p>
    <w:p w14:paraId="274F0736" w14:textId="77777777" w:rsidR="005F4215" w:rsidRDefault="00457FFE">
      <w:pPr>
        <w:pStyle w:val="ListParagraph"/>
        <w:numPr>
          <w:ilvl w:val="0"/>
          <w:numId w:val="4"/>
        </w:numPr>
        <w:rPr>
          <w:noProof/>
          <w:color w:val="FF0000"/>
        </w:rPr>
      </w:pPr>
      <w:r>
        <w:rPr>
          <w:rFonts w:eastAsia="Calibri"/>
          <w:noProof/>
          <w:color w:val="FF0000"/>
          <w:lang w:val="fr-FR"/>
        </w:rPr>
        <w:t>Conclusions</w:t>
      </w:r>
    </w:p>
    <w:p w14:paraId="1DD4605D" w14:textId="77777777" w:rsidR="005F4215" w:rsidRDefault="00457FFE">
      <w:pPr>
        <w:pStyle w:val="ListParagraph"/>
        <w:numPr>
          <w:ilvl w:val="1"/>
          <w:numId w:val="4"/>
        </w:numPr>
        <w:rPr>
          <w:lang w:val="fr-FR"/>
        </w:rPr>
      </w:pPr>
      <w:r>
        <w:rPr>
          <w:rFonts w:eastAsia="Calibri"/>
          <w:lang w:val="fr-FR"/>
        </w:rPr>
        <w:t>Réalisations, par rapport au plan de travail</w:t>
      </w:r>
    </w:p>
    <w:p w14:paraId="7781822C" w14:textId="77777777" w:rsidR="005F4215" w:rsidRDefault="00457FFE">
      <w:pPr>
        <w:pStyle w:val="ListParagraph"/>
        <w:numPr>
          <w:ilvl w:val="1"/>
          <w:numId w:val="4"/>
        </w:numPr>
        <w:rPr>
          <w:lang w:val="fr-FR"/>
        </w:rPr>
      </w:pPr>
      <w:r>
        <w:rPr>
          <w:rFonts w:eastAsia="Calibri"/>
          <w:lang w:val="fr-FR"/>
        </w:rPr>
        <w:t>Ajustements du plan de travail</w:t>
      </w:r>
      <w:r>
        <w:rPr>
          <w:rFonts w:eastAsia="Calibri"/>
          <w:lang w:val="fr-FR"/>
        </w:rPr>
        <w:tab/>
      </w:r>
    </w:p>
    <w:p w14:paraId="3E6BC4E3" w14:textId="77777777" w:rsidR="005F4215" w:rsidRDefault="00457FFE">
      <w:pPr>
        <w:pStyle w:val="ListParagraph"/>
        <w:numPr>
          <w:ilvl w:val="1"/>
          <w:numId w:val="4"/>
        </w:numPr>
      </w:pPr>
      <w:r>
        <w:rPr>
          <w:rFonts w:eastAsia="Calibri"/>
          <w:lang w:val="fr-FR"/>
        </w:rPr>
        <w:t>Bonnes pratiques</w:t>
      </w:r>
      <w:r>
        <w:rPr>
          <w:rFonts w:eastAsia="Calibri"/>
          <w:lang w:val="fr-FR"/>
        </w:rPr>
        <w:tab/>
      </w:r>
    </w:p>
    <w:p w14:paraId="476D141A" w14:textId="77777777" w:rsidR="005F4215" w:rsidRDefault="00457FFE">
      <w:pPr>
        <w:pStyle w:val="ListParagraph"/>
        <w:numPr>
          <w:ilvl w:val="1"/>
          <w:numId w:val="4"/>
        </w:numPr>
      </w:pPr>
      <w:r>
        <w:rPr>
          <w:rFonts w:eastAsia="Calibri"/>
          <w:lang w:val="fr-FR"/>
        </w:rPr>
        <w:t>Exemples à suivre</w:t>
      </w:r>
      <w:r>
        <w:rPr>
          <w:rFonts w:eastAsia="Calibri"/>
          <w:lang w:val="fr-FR"/>
        </w:rPr>
        <w:tab/>
      </w:r>
    </w:p>
    <w:p w14:paraId="3EA908E8" w14:textId="77777777" w:rsidR="005F4215" w:rsidRDefault="00457FFE">
      <w:pPr>
        <w:pStyle w:val="ListParagraph"/>
        <w:numPr>
          <w:ilvl w:val="1"/>
          <w:numId w:val="4"/>
        </w:numPr>
        <w:rPr>
          <w:lang w:val="fr-FR"/>
        </w:rPr>
      </w:pPr>
      <w:r>
        <w:rPr>
          <w:rFonts w:eastAsia="Calibri"/>
          <w:lang w:val="fr-FR"/>
        </w:rPr>
        <w:t>Réunions de compte-rendu aux niveaux des districts de santé et des régions</w:t>
      </w:r>
      <w:r>
        <w:rPr>
          <w:rFonts w:eastAsia="Calibri"/>
          <w:lang w:val="fr-FR"/>
        </w:rPr>
        <w:tab/>
      </w:r>
    </w:p>
    <w:p w14:paraId="75C76F7D" w14:textId="77777777" w:rsidR="005F4215" w:rsidRDefault="00457FFE">
      <w:pPr>
        <w:pStyle w:val="ListParagraph"/>
        <w:numPr>
          <w:ilvl w:val="1"/>
          <w:numId w:val="4"/>
        </w:numPr>
        <w:rPr>
          <w:lang w:val="fr-FR"/>
        </w:rPr>
      </w:pPr>
      <w:r>
        <w:rPr>
          <w:rFonts w:eastAsia="Calibri"/>
          <w:lang w:val="fr-FR"/>
        </w:rPr>
        <w:t>C</w:t>
      </w:r>
      <w:r>
        <w:rPr>
          <w:rFonts w:eastAsia="Calibri"/>
          <w:lang w:val="fr-FR"/>
        </w:rPr>
        <w:t>e que nous avons appris</w:t>
      </w:r>
      <w:r>
        <w:rPr>
          <w:rFonts w:eastAsia="Calibri"/>
          <w:lang w:val="fr-FR"/>
        </w:rPr>
        <w:tab/>
      </w:r>
    </w:p>
    <w:p w14:paraId="7F0D0BFD" w14:textId="77777777" w:rsidR="005F4215" w:rsidRDefault="00457FFE">
      <w:pPr>
        <w:pStyle w:val="ListParagraph"/>
        <w:numPr>
          <w:ilvl w:val="1"/>
          <w:numId w:val="4"/>
        </w:numPr>
      </w:pPr>
      <w:r>
        <w:rPr>
          <w:rFonts w:eastAsia="Calibri"/>
          <w:lang w:val="fr-FR"/>
        </w:rPr>
        <w:t>Défis et opportunités</w:t>
      </w:r>
      <w:r>
        <w:rPr>
          <w:rFonts w:eastAsia="Calibri"/>
          <w:lang w:val="fr-FR"/>
        </w:rPr>
        <w:tab/>
      </w:r>
    </w:p>
    <w:p w14:paraId="3291D33C" w14:textId="77777777" w:rsidR="005F4215" w:rsidRDefault="00457FFE">
      <w:pPr>
        <w:pStyle w:val="ListParagraph"/>
        <w:numPr>
          <w:ilvl w:val="1"/>
          <w:numId w:val="4"/>
        </w:numPr>
      </w:pPr>
      <w:r>
        <w:rPr>
          <w:rFonts w:eastAsia="Calibri"/>
          <w:lang w:val="fr-FR"/>
        </w:rPr>
        <w:t>Recommandations</w:t>
      </w:r>
    </w:p>
    <w:p w14:paraId="1F61750C" w14:textId="77777777" w:rsidR="005F4215" w:rsidRDefault="005F4215">
      <w:pPr>
        <w:rPr>
          <w:noProof/>
          <w:lang w:val="fr-FR"/>
        </w:rPr>
      </w:pPr>
    </w:p>
    <w:p w14:paraId="78D41570" w14:textId="77777777" w:rsidR="005F4215" w:rsidRDefault="005F4215">
      <w:pPr>
        <w:rPr>
          <w:noProof/>
          <w:highlight w:val="cyan"/>
        </w:rPr>
      </w:pPr>
    </w:p>
    <w:sectPr w:rsidR="005F421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3D8A" w14:textId="77777777" w:rsidR="00457FFE" w:rsidRDefault="00457FFE">
      <w:pPr>
        <w:spacing w:after="0" w:line="240" w:lineRule="auto"/>
      </w:pPr>
      <w:r>
        <w:separator/>
      </w:r>
    </w:p>
  </w:endnote>
  <w:endnote w:type="continuationSeparator" w:id="0">
    <w:p w14:paraId="3E887591" w14:textId="77777777" w:rsidR="00457FFE" w:rsidRDefault="004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20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8EDCE" w14:textId="77777777" w:rsidR="005F4215" w:rsidRDefault="00457F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7A7F0" w14:textId="77777777" w:rsidR="005F4215" w:rsidRDefault="005F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AA8B" w14:textId="77777777" w:rsidR="00457FFE" w:rsidRDefault="00457FFE">
      <w:pPr>
        <w:spacing w:after="0" w:line="240" w:lineRule="auto"/>
      </w:pPr>
      <w:r>
        <w:separator/>
      </w:r>
    </w:p>
  </w:footnote>
  <w:footnote w:type="continuationSeparator" w:id="0">
    <w:p w14:paraId="0F297665" w14:textId="77777777" w:rsidR="00457FFE" w:rsidRDefault="0045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52306"/>
      <w:docPartObj>
        <w:docPartGallery w:val="Watermarks"/>
        <w:docPartUnique/>
      </w:docPartObj>
    </w:sdtPr>
    <w:sdtEndPr/>
    <w:sdtContent>
      <w:p w14:paraId="717B23E3" w14:textId="77777777" w:rsidR="005F4215" w:rsidRDefault="00457FFE">
        <w:pPr>
          <w:pStyle w:val="Header"/>
        </w:pPr>
        <w:r>
          <w:rPr>
            <w:noProof/>
          </w:rPr>
          <w:pict w14:anchorId="35AFFB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0B"/>
    <w:multiLevelType w:val="hybridMultilevel"/>
    <w:tmpl w:val="DCF43812"/>
    <w:lvl w:ilvl="0" w:tplc="3B1C2B8E">
      <w:start w:val="1"/>
      <w:numFmt w:val="decimal"/>
      <w:lvlText w:val="%1."/>
      <w:lvlJc w:val="left"/>
      <w:pPr>
        <w:ind w:left="360" w:hanging="360"/>
      </w:pPr>
    </w:lvl>
    <w:lvl w:ilvl="1" w:tplc="3DCE9A66">
      <w:start w:val="1"/>
      <w:numFmt w:val="lowerLetter"/>
      <w:lvlText w:val="%2."/>
      <w:lvlJc w:val="left"/>
      <w:pPr>
        <w:ind w:left="1080" w:hanging="360"/>
      </w:pPr>
    </w:lvl>
    <w:lvl w:ilvl="2" w:tplc="E732E672" w:tentative="1">
      <w:start w:val="1"/>
      <w:numFmt w:val="lowerRoman"/>
      <w:lvlText w:val="%3."/>
      <w:lvlJc w:val="right"/>
      <w:pPr>
        <w:ind w:left="1800" w:hanging="180"/>
      </w:pPr>
    </w:lvl>
    <w:lvl w:ilvl="3" w:tplc="3572CFC0" w:tentative="1">
      <w:start w:val="1"/>
      <w:numFmt w:val="decimal"/>
      <w:lvlText w:val="%4."/>
      <w:lvlJc w:val="left"/>
      <w:pPr>
        <w:ind w:left="2520" w:hanging="360"/>
      </w:pPr>
    </w:lvl>
    <w:lvl w:ilvl="4" w:tplc="93A22B4C" w:tentative="1">
      <w:start w:val="1"/>
      <w:numFmt w:val="lowerLetter"/>
      <w:lvlText w:val="%5."/>
      <w:lvlJc w:val="left"/>
      <w:pPr>
        <w:ind w:left="3240" w:hanging="360"/>
      </w:pPr>
    </w:lvl>
    <w:lvl w:ilvl="5" w:tplc="7592CE2E" w:tentative="1">
      <w:start w:val="1"/>
      <w:numFmt w:val="lowerRoman"/>
      <w:lvlText w:val="%6."/>
      <w:lvlJc w:val="right"/>
      <w:pPr>
        <w:ind w:left="3960" w:hanging="180"/>
      </w:pPr>
    </w:lvl>
    <w:lvl w:ilvl="6" w:tplc="787EF128" w:tentative="1">
      <w:start w:val="1"/>
      <w:numFmt w:val="decimal"/>
      <w:lvlText w:val="%7."/>
      <w:lvlJc w:val="left"/>
      <w:pPr>
        <w:ind w:left="4680" w:hanging="360"/>
      </w:pPr>
    </w:lvl>
    <w:lvl w:ilvl="7" w:tplc="2DB26346" w:tentative="1">
      <w:start w:val="1"/>
      <w:numFmt w:val="lowerLetter"/>
      <w:lvlText w:val="%8."/>
      <w:lvlJc w:val="left"/>
      <w:pPr>
        <w:ind w:left="5400" w:hanging="360"/>
      </w:pPr>
    </w:lvl>
    <w:lvl w:ilvl="8" w:tplc="015C99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F2A97"/>
    <w:multiLevelType w:val="hybridMultilevel"/>
    <w:tmpl w:val="16F40496"/>
    <w:lvl w:ilvl="0" w:tplc="5C221518">
      <w:start w:val="1"/>
      <w:numFmt w:val="decimal"/>
      <w:lvlText w:val="%1."/>
      <w:lvlJc w:val="left"/>
      <w:pPr>
        <w:ind w:left="1080" w:hanging="360"/>
      </w:pPr>
    </w:lvl>
    <w:lvl w:ilvl="1" w:tplc="8F9E4B7A" w:tentative="1">
      <w:start w:val="1"/>
      <w:numFmt w:val="lowerLetter"/>
      <w:lvlText w:val="%2."/>
      <w:lvlJc w:val="left"/>
      <w:pPr>
        <w:ind w:left="1800" w:hanging="360"/>
      </w:pPr>
    </w:lvl>
    <w:lvl w:ilvl="2" w:tplc="04CE8D18" w:tentative="1">
      <w:start w:val="1"/>
      <w:numFmt w:val="lowerRoman"/>
      <w:lvlText w:val="%3."/>
      <w:lvlJc w:val="right"/>
      <w:pPr>
        <w:ind w:left="2520" w:hanging="180"/>
      </w:pPr>
    </w:lvl>
    <w:lvl w:ilvl="3" w:tplc="35DC9348" w:tentative="1">
      <w:start w:val="1"/>
      <w:numFmt w:val="decimal"/>
      <w:lvlText w:val="%4."/>
      <w:lvlJc w:val="left"/>
      <w:pPr>
        <w:ind w:left="3240" w:hanging="360"/>
      </w:pPr>
    </w:lvl>
    <w:lvl w:ilvl="4" w:tplc="A8346D4C" w:tentative="1">
      <w:start w:val="1"/>
      <w:numFmt w:val="lowerLetter"/>
      <w:lvlText w:val="%5."/>
      <w:lvlJc w:val="left"/>
      <w:pPr>
        <w:ind w:left="3960" w:hanging="360"/>
      </w:pPr>
    </w:lvl>
    <w:lvl w:ilvl="5" w:tplc="9516D0CE" w:tentative="1">
      <w:start w:val="1"/>
      <w:numFmt w:val="lowerRoman"/>
      <w:lvlText w:val="%6."/>
      <w:lvlJc w:val="right"/>
      <w:pPr>
        <w:ind w:left="4680" w:hanging="180"/>
      </w:pPr>
    </w:lvl>
    <w:lvl w:ilvl="6" w:tplc="29620ABE" w:tentative="1">
      <w:start w:val="1"/>
      <w:numFmt w:val="decimal"/>
      <w:lvlText w:val="%7."/>
      <w:lvlJc w:val="left"/>
      <w:pPr>
        <w:ind w:left="5400" w:hanging="360"/>
      </w:pPr>
    </w:lvl>
    <w:lvl w:ilvl="7" w:tplc="9DBC9DB6" w:tentative="1">
      <w:start w:val="1"/>
      <w:numFmt w:val="lowerLetter"/>
      <w:lvlText w:val="%8."/>
      <w:lvlJc w:val="left"/>
      <w:pPr>
        <w:ind w:left="6120" w:hanging="360"/>
      </w:pPr>
    </w:lvl>
    <w:lvl w:ilvl="8" w:tplc="BE7071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95C5B"/>
    <w:multiLevelType w:val="hybridMultilevel"/>
    <w:tmpl w:val="C90A3306"/>
    <w:lvl w:ilvl="0" w:tplc="6CEC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E3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6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C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02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4D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C9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6F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E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29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FD3E2E"/>
    <w:multiLevelType w:val="hybridMultilevel"/>
    <w:tmpl w:val="45B48808"/>
    <w:lvl w:ilvl="0" w:tplc="34D2D50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AF69232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F6CEF7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3DEAAA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5C8973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2645F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3F6386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FDA8004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993AEE0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15"/>
    <w:rsid w:val="00002972"/>
    <w:rsid w:val="00457FFE"/>
    <w:rsid w:val="005F4215"/>
    <w:rsid w:val="008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7AA8B46"/>
  <w15:chartTrackingRefBased/>
  <w15:docId w15:val="{9F446660-2247-4F58-BC29-56295F0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</w:pPr>
    <w:rPr>
      <w:rFonts w:ascii="Times New Roman" w:hAnsi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880"/>
        <w:tab w:val="right" w:leader="dot" w:pos="9350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904256b0-da5e-44ec-8fbf-7e6182eb04b3" xsi:nil="true"/>
    <_ip_UnifiedCompliancePolicyProperties xmlns="http://schemas.microsoft.com/sharepoint/v3" xsi:nil="true"/>
    <Date xmlns="904256b0-da5e-44ec-8fbf-7e6182eb04b3" xsi:nil="true"/>
    <SharedWithUsers xmlns="fd6cf429-9e6f-43c2-ad95-3825faa51009">
      <UserInfo>
        <DisplayName>Charlotte Eddis</DisplayName>
        <AccountId>745</AccountId>
        <AccountType/>
      </UserInfo>
      <UserInfo>
        <DisplayName>Adam Nothem</DisplayName>
        <AccountId>744</AccountId>
        <AccountType/>
      </UserInfo>
      <UserInfo>
        <DisplayName>Tabitha Kibuka</DisplayName>
        <AccountId>74</AccountId>
        <AccountType/>
      </UserInfo>
      <UserInfo>
        <DisplayName>Payton Hartford</DisplayName>
        <AccountId>869</AccountId>
        <AccountType/>
      </UserInfo>
      <UserInfo>
        <DisplayName>Hendriatha Che</DisplayName>
        <AccountId>3311</AccountId>
        <AccountType/>
      </UserInfo>
      <UserInfo>
        <DisplayName>Jaclyn Flewelling</DisplayName>
        <AccountId>857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EE6EA96BE3E4EB492D463EE6A1F52" ma:contentTypeVersion="17" ma:contentTypeDescription="Create a new document." ma:contentTypeScope="" ma:versionID="5010e852ceba7ee53645db07e8edbc69">
  <xsd:schema xmlns:xsd="http://www.w3.org/2001/XMLSchema" xmlns:xs="http://www.w3.org/2001/XMLSchema" xmlns:p="http://schemas.microsoft.com/office/2006/metadata/properties" xmlns:ns1="http://schemas.microsoft.com/sharepoint/v3" xmlns:ns2="904256b0-da5e-44ec-8fbf-7e6182eb04b3" xmlns:ns3="fd6cf429-9e6f-43c2-ad95-3825faa51009" targetNamespace="http://schemas.microsoft.com/office/2006/metadata/properties" ma:root="true" ma:fieldsID="d5aa73940de6c4609173a556f75c0f7c" ns1:_="" ns2:_="" ns3:_="">
    <xsd:import namespace="http://schemas.microsoft.com/sharepoint/v3"/>
    <xsd:import namespace="904256b0-da5e-44ec-8fbf-7e6182eb04b3"/>
    <xsd:import namespace="fd6cf429-9e6f-43c2-ad95-3825faa51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6b0-da5e-44ec-8fbf-7e6182eb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f429-9e6f-43c2-ad95-3825faa51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2461-D88B-4B55-8679-FE188EF607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4256b0-da5e-44ec-8fbf-7e6182eb04b3"/>
    <ds:schemaRef ds:uri="fd6cf429-9e6f-43c2-ad95-3825faa51009"/>
  </ds:schemaRefs>
</ds:datastoreItem>
</file>

<file path=customXml/itemProps2.xml><?xml version="1.0" encoding="utf-8"?>
<ds:datastoreItem xmlns:ds="http://schemas.openxmlformats.org/officeDocument/2006/customXml" ds:itemID="{2B317E59-944F-423F-8E5F-462C85E0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4256b0-da5e-44ec-8fbf-7e6182eb04b3"/>
    <ds:schemaRef ds:uri="fd6cf429-9e6f-43c2-ad95-3825faa51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DD6C0-8D2D-40D2-B105-509F2D58D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BOSMAN, Andrea</dc:creator>
  <cp:lastModifiedBy>Abena Poku-Awuku</cp:lastModifiedBy>
  <cp:revision>2</cp:revision>
  <dcterms:created xsi:type="dcterms:W3CDTF">2021-11-10T10:23:00Z</dcterms:created>
  <dcterms:modified xsi:type="dcterms:W3CDTF">2021-11-10T10:23:00Z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0x0101004CAEE6EA96BE3E4EB492D463EE6A1F52</vt:lpwstr>
  </property>
</Properties>
</file>